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49403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099227ef-7029-4079-ae60-1c1e725042d4" w:id="1"/>
      <w:r>
        <w:rPr>
          <w:rFonts w:ascii="Times New Roman" w:hAnsi="Times New Roman"/>
          <w:b/>
          <w:i w:val="false"/>
          <w:color w:val="000000"/>
          <w:sz w:val="28"/>
        </w:rPr>
        <w:t>Министерство образования и науки РД</w:t>
      </w:r>
      <w:bookmarkEnd w:id="1"/>
      <w:r>
        <w:rPr>
          <w:rFonts w:ascii="Times New Roman" w:hAnsi="Times New Roman"/>
          <w:b/>
          <w:i w:val="false"/>
          <w:color w:val="000000"/>
          <w:sz w:val="28"/>
        </w:rPr>
        <w:t xml:space="preserve"> </w:t>
      </w:r>
    </w:p>
    <w:p>
      <w:pPr>
        <w:spacing w:before="0" w:after="0" w:line="408"/>
        <w:ind w:left="120"/>
        <w:jc w:val="center"/>
      </w:pPr>
      <w:bookmarkStart w:name="60108ef9-761b-4d5f-b35a-43765278bc23" w:id="2"/>
      <w:r>
        <w:rPr>
          <w:rFonts w:ascii="Times New Roman" w:hAnsi="Times New Roman"/>
          <w:b/>
          <w:i w:val="false"/>
          <w:color w:val="000000"/>
          <w:sz w:val="28"/>
        </w:rPr>
        <w:t>МО Хивский район</w:t>
      </w:r>
      <w:bookmarkEnd w:id="2"/>
    </w:p>
    <w:p>
      <w:pPr>
        <w:spacing w:before="0" w:after="0" w:line="408"/>
        <w:ind w:left="120"/>
        <w:jc w:val="center"/>
      </w:pPr>
      <w:r>
        <w:rPr>
          <w:rFonts w:ascii="Times New Roman" w:hAnsi="Times New Roman"/>
          <w:b/>
          <w:i w:val="false"/>
          <w:color w:val="000000"/>
          <w:sz w:val="28"/>
        </w:rPr>
        <w:t>МКОУ "Канцильская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Мислимов Б.М.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Завуч</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Фаталиев Ф.А.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Айдемиров В.Р.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3895737)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6d5ed29-4355-44c3-96c9-68a638030246" w:id="3"/>
      <w:r>
        <w:rPr>
          <w:rFonts w:ascii="Times New Roman" w:hAnsi="Times New Roman"/>
          <w:b/>
          <w:i w:val="false"/>
          <w:color w:val="000000"/>
          <w:sz w:val="28"/>
        </w:rPr>
        <w:t>Канциль</w:t>
      </w:r>
      <w:bookmarkEnd w:id="3"/>
      <w:r>
        <w:rPr>
          <w:rFonts w:ascii="Times New Roman" w:hAnsi="Times New Roman"/>
          <w:b/>
          <w:i w:val="false"/>
          <w:color w:val="000000"/>
          <w:sz w:val="28"/>
        </w:rPr>
        <w:t xml:space="preserve"> </w:t>
      </w:r>
      <w:bookmarkStart w:name="6f91944c-d6af-4ef1-8ebb-72a7d3f52a1b" w:id="4"/>
      <w:r>
        <w:rPr>
          <w:rFonts w:ascii="Times New Roman" w:hAnsi="Times New Roman"/>
          <w:b/>
          <w:i w:val="false"/>
          <w:color w:val="000000"/>
          <w:sz w:val="28"/>
        </w:rPr>
        <w:t>2023</w:t>
      </w:r>
      <w:bookmarkEnd w:id="4"/>
    </w:p>
    <w:p>
      <w:pPr>
        <w:spacing w:before="0" w:after="0"/>
        <w:ind w:left="120"/>
        <w:jc w:val="left"/>
      </w:pPr>
    </w:p>
    <w:bookmarkStart w:name="block-29494033" w:id="5"/>
    <w:p>
      <w:pPr>
        <w:sectPr>
          <w:pgSz w:w="11906" w:h="16383" w:orient="portrait"/>
        </w:sectPr>
      </w:pPr>
    </w:p>
    <w:bookmarkEnd w:id="5"/>
    <w:bookmarkEnd w:id="0"/>
    <w:bookmarkStart w:name="block-2949403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7"/>
      <w:bookmarkEnd w:id="7"/>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29494032" w:id="8"/>
    <w:p>
      <w:pPr>
        <w:sectPr>
          <w:pgSz w:w="11906" w:h="16383" w:orient="portrait"/>
        </w:sectPr>
      </w:pPr>
    </w:p>
    <w:bookmarkEnd w:id="8"/>
    <w:bookmarkEnd w:id="6"/>
    <w:bookmarkStart w:name="block-29494028" w:id="9"/>
    <w:p>
      <w:pPr>
        <w:spacing w:before="0" w:after="0" w:line="264"/>
        <w:ind w:left="120"/>
        <w:jc w:val="both"/>
      </w:pPr>
      <w:bookmarkStart w:name="_Toc118726599" w:id="10"/>
      <w:bookmarkEnd w:id="10"/>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11"/>
      <w:bookmarkEnd w:id="11"/>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12"/>
      <w:bookmarkEnd w:id="12"/>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29494028" w:id="13"/>
    <w:p>
      <w:pPr>
        <w:sectPr>
          <w:pgSz w:w="11906" w:h="16383" w:orient="portrait"/>
        </w:sectPr>
      </w:pPr>
    </w:p>
    <w:bookmarkEnd w:id="13"/>
    <w:bookmarkEnd w:id="9"/>
    <w:bookmarkStart w:name="block-29494027" w:id="14"/>
    <w:p>
      <w:pPr>
        <w:spacing w:before="0" w:after="0" w:line="264"/>
        <w:ind w:left="120"/>
        <w:jc w:val="both"/>
      </w:pPr>
      <w:bookmarkStart w:name="_Toc118726577" w:id="15"/>
      <w:bookmarkEnd w:id="15"/>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6"/>
      <w:bookmarkEnd w:id="16"/>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7"/>
      <w:bookmarkEnd w:id="17"/>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8"/>
      <w:bookmarkEnd w:id="18"/>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29494027" w:id="19"/>
    <w:p>
      <w:pPr>
        <w:sectPr>
          <w:pgSz w:w="11906" w:h="16383" w:orient="portrait"/>
        </w:sectPr>
      </w:pPr>
    </w:p>
    <w:bookmarkEnd w:id="19"/>
    <w:bookmarkEnd w:id="14"/>
    <w:bookmarkStart w:name="block-29494029" w:id="2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30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29494029" w:id="21"/>
    <w:p>
      <w:pPr>
        <w:sectPr>
          <w:pgSz w:w="16383" w:h="11906" w:orient="landscape"/>
        </w:sectPr>
      </w:pPr>
    </w:p>
    <w:bookmarkEnd w:id="21"/>
    <w:bookmarkEnd w:id="20"/>
    <w:bookmarkStart w:name="block-29494030" w:id="2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12"/>
        <w:gridCol w:w="3171"/>
        <w:gridCol w:w="1138"/>
        <w:gridCol w:w="2128"/>
        <w:gridCol w:w="2273"/>
        <w:gridCol w:w="1604"/>
        <w:gridCol w:w="2768"/>
      </w:tblGrid>
      <w:tr>
        <w:trPr>
          <w:trHeight w:val="390" w:hRule="atLeast"/>
          <w:trHeight w:val="144" w:hRule="atLeast"/>
        </w:trPr>
        <w:tc>
          <w:tcPr>
            <w:tcW w:w="3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55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14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2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44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0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24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71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38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7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494030" w:id="23"/>
    <w:p>
      <w:pPr>
        <w:sectPr>
          <w:pgSz w:w="16383" w:h="11906" w:orient="landscape"/>
        </w:sectPr>
      </w:pPr>
    </w:p>
    <w:bookmarkEnd w:id="23"/>
    <w:bookmarkEnd w:id="22"/>
    <w:bookmarkStart w:name="block-29494031"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9494031"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